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D2D" w:rsidRPr="00FE0D2D" w:rsidRDefault="006C04DE" w:rsidP="007346D9">
      <w:pPr>
        <w:pStyle w:val="a3"/>
        <w:spacing w:after="0"/>
        <w:jc w:val="left"/>
        <w:rPr>
          <w:rStyle w:val="Char"/>
          <w:rFonts w:asciiTheme="minorHAnsi" w:eastAsia="楷体" w:hAnsiTheme="minorHAnsi" w:cstheme="minorHAnsi"/>
          <w:sz w:val="21"/>
          <w:szCs w:val="21"/>
        </w:rPr>
      </w:pPr>
      <w:r w:rsidRPr="00FE0D2D">
        <w:rPr>
          <w:rFonts w:ascii="黑体" w:eastAsia="黑体" w:hAnsi="黑体" w:cstheme="minorHAnsi"/>
          <w:bCs w:val="0"/>
          <w:color w:val="0070C0"/>
          <w:kern w:val="2"/>
          <w:sz w:val="21"/>
          <w:szCs w:val="21"/>
        </w:rPr>
        <w:t>数据库名称：</w:t>
      </w:r>
      <w:r w:rsidRPr="00B21640">
        <w:rPr>
          <w:rStyle w:val="Char"/>
          <w:rFonts w:asciiTheme="minorHAnsi" w:eastAsia="楷体" w:hAnsiTheme="minorHAnsi" w:cstheme="minorHAnsi"/>
          <w:sz w:val="21"/>
          <w:szCs w:val="21"/>
        </w:rPr>
        <w:t>威科</w:t>
      </w:r>
      <w:r w:rsidR="00182AC1">
        <w:rPr>
          <w:rStyle w:val="Char"/>
          <w:rFonts w:asciiTheme="minorHAnsi" w:eastAsia="楷体" w:hAnsiTheme="minorHAnsi" w:cstheme="minorHAnsi" w:hint="eastAsia"/>
          <w:sz w:val="21"/>
          <w:szCs w:val="21"/>
        </w:rPr>
        <w:t>先行</w:t>
      </w:r>
      <w:r w:rsidR="00182AC1">
        <w:rPr>
          <w:rStyle w:val="Char"/>
          <w:rFonts w:asciiTheme="minorHAnsi" w:eastAsia="楷体" w:hAnsiTheme="minorHAnsi" w:cstheme="minorHAnsi" w:hint="eastAsia"/>
          <w:sz w:val="21"/>
          <w:szCs w:val="21"/>
        </w:rPr>
        <w:t xml:space="preserve"> China Law &amp; Reference</w:t>
      </w:r>
    </w:p>
    <w:p w:rsidR="00C8577B" w:rsidRDefault="006C04DE" w:rsidP="00C8577B">
      <w:pPr>
        <w:widowControl/>
        <w:spacing w:line="276" w:lineRule="auto"/>
        <w:jc w:val="left"/>
        <w:rPr>
          <w:rStyle w:val="a4"/>
          <w:rFonts w:eastAsia="楷体" w:cstheme="minorHAnsi"/>
          <w:bCs/>
          <w:kern w:val="0"/>
          <w:szCs w:val="21"/>
        </w:rPr>
      </w:pPr>
      <w:r w:rsidRPr="00A45C9F">
        <w:rPr>
          <w:rFonts w:ascii="黑体" w:eastAsia="黑体" w:hAnsi="黑体" w:cstheme="minorHAnsi"/>
          <w:b/>
          <w:color w:val="0070C0"/>
          <w:szCs w:val="21"/>
        </w:rPr>
        <w:t>数据库地址</w:t>
      </w:r>
      <w:r w:rsidRPr="00B21640">
        <w:rPr>
          <w:rFonts w:eastAsia="楷体" w:cstheme="minorHAnsi"/>
          <w:szCs w:val="21"/>
        </w:rPr>
        <w:t>：</w:t>
      </w:r>
      <w:hyperlink r:id="rId5" w:history="1">
        <w:r w:rsidR="00157CD2" w:rsidRPr="009B190B">
          <w:rPr>
            <w:rStyle w:val="a4"/>
            <w:rFonts w:hint="eastAsia"/>
          </w:rPr>
          <w:t>www</w:t>
        </w:r>
        <w:r w:rsidR="00157CD2" w:rsidRPr="009B190B">
          <w:rPr>
            <w:rStyle w:val="a4"/>
          </w:rPr>
          <w:t>.wkinfo.com.cn</w:t>
        </w:r>
      </w:hyperlink>
      <w:r w:rsidR="00182AC1">
        <w:rPr>
          <w:rFonts w:hint="eastAsia"/>
        </w:rPr>
        <w:t xml:space="preserve"> </w:t>
      </w:r>
    </w:p>
    <w:p w:rsidR="006C04DE" w:rsidRPr="00B21640" w:rsidRDefault="006C04DE" w:rsidP="00C8577B">
      <w:pPr>
        <w:widowControl/>
        <w:spacing w:line="276" w:lineRule="auto"/>
        <w:jc w:val="left"/>
        <w:rPr>
          <w:rFonts w:eastAsia="楷体" w:cstheme="minorHAnsi"/>
          <w:szCs w:val="21"/>
        </w:rPr>
      </w:pPr>
      <w:r w:rsidRPr="00A45C9F">
        <w:rPr>
          <w:rFonts w:ascii="黑体" w:eastAsia="黑体" w:hAnsi="黑体" w:cstheme="minorHAnsi"/>
          <w:b/>
          <w:color w:val="0070C0"/>
          <w:szCs w:val="21"/>
        </w:rPr>
        <w:t>数据库类型</w:t>
      </w:r>
      <w:r w:rsidRPr="00B21640">
        <w:rPr>
          <w:rFonts w:eastAsia="楷体" w:cstheme="minorHAnsi"/>
          <w:szCs w:val="21"/>
        </w:rPr>
        <w:t>：</w:t>
      </w:r>
      <w:r w:rsidR="00FE0D2D">
        <w:rPr>
          <w:rFonts w:eastAsia="楷体" w:cstheme="minorHAnsi" w:hint="eastAsia"/>
          <w:szCs w:val="21"/>
        </w:rPr>
        <w:t xml:space="preserve"> </w:t>
      </w:r>
      <w:r w:rsidR="00182AC1">
        <w:rPr>
          <w:rFonts w:eastAsia="楷体" w:cstheme="minorHAnsi" w:hint="eastAsia"/>
          <w:szCs w:val="21"/>
        </w:rPr>
        <w:t>法律法规、</w:t>
      </w:r>
      <w:r w:rsidR="00931BF0">
        <w:rPr>
          <w:rFonts w:eastAsia="楷体" w:cstheme="minorHAnsi" w:hint="eastAsia"/>
          <w:szCs w:val="21"/>
        </w:rPr>
        <w:t>文献、评论、分析</w:t>
      </w:r>
    </w:p>
    <w:p w:rsidR="006C04DE" w:rsidRPr="00B21640" w:rsidRDefault="006C04DE" w:rsidP="00A45C9F">
      <w:pPr>
        <w:spacing w:line="276" w:lineRule="auto"/>
        <w:rPr>
          <w:rFonts w:eastAsia="楷体" w:cstheme="minorHAnsi"/>
          <w:szCs w:val="21"/>
        </w:rPr>
      </w:pPr>
      <w:r w:rsidRPr="00A45C9F">
        <w:rPr>
          <w:rFonts w:ascii="黑体" w:eastAsia="黑体" w:hAnsi="黑体" w:cstheme="minorHAnsi"/>
          <w:b/>
          <w:color w:val="0070C0"/>
          <w:szCs w:val="21"/>
        </w:rPr>
        <w:t>访问年限</w:t>
      </w:r>
      <w:r w:rsidRPr="00B21640">
        <w:rPr>
          <w:rFonts w:eastAsia="楷体" w:cstheme="minorHAnsi"/>
          <w:szCs w:val="21"/>
        </w:rPr>
        <w:t>：</w:t>
      </w:r>
      <w:r w:rsidR="00A45C9F">
        <w:rPr>
          <w:rFonts w:eastAsia="楷体" w:cstheme="minorHAnsi" w:hint="eastAsia"/>
          <w:szCs w:val="21"/>
        </w:rPr>
        <w:t xml:space="preserve">  </w:t>
      </w:r>
      <w:r w:rsidR="00FE0D2D">
        <w:rPr>
          <w:rFonts w:eastAsia="楷体" w:cstheme="minorHAnsi" w:hint="eastAsia"/>
          <w:szCs w:val="21"/>
        </w:rPr>
        <w:t xml:space="preserve"> </w:t>
      </w:r>
      <w:r w:rsidR="00931BF0">
        <w:rPr>
          <w:rFonts w:eastAsia="楷体" w:cstheme="minorHAnsi" w:hint="eastAsia"/>
          <w:szCs w:val="21"/>
        </w:rPr>
        <w:t>实时更新</w:t>
      </w:r>
    </w:p>
    <w:p w:rsidR="006C04DE" w:rsidRPr="00B21640" w:rsidRDefault="006C04DE" w:rsidP="00A45C9F">
      <w:pPr>
        <w:spacing w:line="276" w:lineRule="auto"/>
        <w:ind w:left="1265" w:hangingChars="600" w:hanging="1265"/>
        <w:rPr>
          <w:rFonts w:eastAsia="楷体" w:cstheme="minorHAnsi"/>
          <w:bCs/>
          <w:kern w:val="0"/>
          <w:szCs w:val="21"/>
        </w:rPr>
      </w:pPr>
      <w:r w:rsidRPr="00A45C9F">
        <w:rPr>
          <w:rFonts w:ascii="黑体" w:eastAsia="黑体" w:hAnsi="黑体" w:cstheme="minorHAnsi"/>
          <w:b/>
          <w:color w:val="0070C0"/>
          <w:szCs w:val="21"/>
        </w:rPr>
        <w:t>学科范围</w:t>
      </w:r>
      <w:r w:rsidRPr="00B21640">
        <w:rPr>
          <w:rFonts w:eastAsia="楷体" w:cstheme="minorHAnsi"/>
          <w:szCs w:val="21"/>
        </w:rPr>
        <w:t>：</w:t>
      </w:r>
      <w:r w:rsidR="00A45C9F">
        <w:rPr>
          <w:rFonts w:eastAsia="楷体" w:cstheme="minorHAnsi" w:hint="eastAsia"/>
          <w:szCs w:val="21"/>
        </w:rPr>
        <w:t xml:space="preserve">  </w:t>
      </w:r>
      <w:r w:rsidR="00FE0D2D">
        <w:rPr>
          <w:rFonts w:eastAsia="楷体" w:cstheme="minorHAnsi" w:hint="eastAsia"/>
          <w:bCs/>
          <w:kern w:val="0"/>
          <w:szCs w:val="21"/>
        </w:rPr>
        <w:t xml:space="preserve"> </w:t>
      </w:r>
      <w:r w:rsidR="00182AC1">
        <w:rPr>
          <w:rFonts w:eastAsia="楷体" w:cstheme="minorHAnsi" w:hint="eastAsia"/>
          <w:bCs/>
          <w:kern w:val="0"/>
          <w:szCs w:val="21"/>
        </w:rPr>
        <w:t>法律</w:t>
      </w:r>
    </w:p>
    <w:p w:rsidR="006C04DE" w:rsidRDefault="006C04DE" w:rsidP="00A45C9F">
      <w:pPr>
        <w:spacing w:line="276" w:lineRule="auto"/>
        <w:rPr>
          <w:rFonts w:eastAsia="楷体" w:cstheme="minorHAnsi"/>
          <w:bCs/>
          <w:kern w:val="0"/>
          <w:szCs w:val="21"/>
        </w:rPr>
      </w:pPr>
      <w:r w:rsidRPr="00A45C9F">
        <w:rPr>
          <w:rFonts w:ascii="黑体" w:eastAsia="黑体" w:hAnsi="黑体" w:cstheme="minorHAnsi"/>
          <w:b/>
          <w:color w:val="0070C0"/>
          <w:szCs w:val="21"/>
        </w:rPr>
        <w:t>语种</w:t>
      </w:r>
      <w:r w:rsidRPr="00B21640">
        <w:rPr>
          <w:rFonts w:eastAsia="楷体" w:cstheme="minorHAnsi"/>
          <w:bCs/>
          <w:kern w:val="0"/>
          <w:szCs w:val="21"/>
        </w:rPr>
        <w:t>：</w:t>
      </w:r>
      <w:r w:rsidR="00A45C9F">
        <w:rPr>
          <w:rFonts w:eastAsia="楷体" w:cstheme="minorHAnsi" w:hint="eastAsia"/>
          <w:bCs/>
          <w:kern w:val="0"/>
          <w:szCs w:val="21"/>
        </w:rPr>
        <w:t xml:space="preserve">     </w:t>
      </w:r>
      <w:r w:rsidR="00FE0D2D">
        <w:rPr>
          <w:rFonts w:eastAsia="楷体" w:cstheme="minorHAnsi" w:hint="eastAsia"/>
          <w:bCs/>
          <w:kern w:val="0"/>
          <w:szCs w:val="21"/>
        </w:rPr>
        <w:t xml:space="preserve"> </w:t>
      </w:r>
      <w:r w:rsidR="00A45C9F">
        <w:rPr>
          <w:rFonts w:eastAsia="楷体" w:cstheme="minorHAnsi" w:hint="eastAsia"/>
          <w:bCs/>
          <w:kern w:val="0"/>
          <w:szCs w:val="21"/>
        </w:rPr>
        <w:t xml:space="preserve"> </w:t>
      </w:r>
      <w:r w:rsidR="00182AC1">
        <w:rPr>
          <w:rFonts w:eastAsia="楷体" w:cstheme="minorHAnsi" w:hint="eastAsia"/>
          <w:bCs/>
          <w:kern w:val="0"/>
          <w:szCs w:val="21"/>
        </w:rPr>
        <w:t>中</w:t>
      </w:r>
      <w:r w:rsidR="00B17963">
        <w:rPr>
          <w:rFonts w:eastAsia="楷体" w:cstheme="minorHAnsi" w:hint="eastAsia"/>
          <w:bCs/>
          <w:kern w:val="0"/>
          <w:szCs w:val="21"/>
        </w:rPr>
        <w:t>英</w:t>
      </w:r>
      <w:r w:rsidR="00182AC1">
        <w:rPr>
          <w:rFonts w:eastAsia="楷体" w:cstheme="minorHAnsi" w:hint="eastAsia"/>
          <w:bCs/>
          <w:kern w:val="0"/>
          <w:szCs w:val="21"/>
        </w:rPr>
        <w:t>文</w:t>
      </w:r>
      <w:r w:rsidR="00B17963">
        <w:rPr>
          <w:rFonts w:eastAsia="楷体" w:cstheme="minorHAnsi" w:hint="eastAsia"/>
          <w:bCs/>
          <w:kern w:val="0"/>
          <w:szCs w:val="21"/>
        </w:rPr>
        <w:t>双语</w:t>
      </w:r>
    </w:p>
    <w:p w:rsidR="00182AC1" w:rsidRDefault="00A45C9F" w:rsidP="00565B5F">
      <w:pPr>
        <w:spacing w:line="276" w:lineRule="auto"/>
      </w:pPr>
      <w:r w:rsidRPr="00A45C9F">
        <w:rPr>
          <w:rFonts w:ascii="黑体" w:eastAsia="黑体" w:hAnsi="黑体" w:cstheme="minorHAnsi"/>
          <w:b/>
          <w:color w:val="0070C0"/>
          <w:szCs w:val="21"/>
        </w:rPr>
        <w:t>使用指南</w:t>
      </w:r>
      <w:r w:rsidRPr="00B21640">
        <w:rPr>
          <w:rFonts w:eastAsia="楷体" w:cstheme="minorHAnsi"/>
          <w:bCs/>
          <w:kern w:val="0"/>
          <w:szCs w:val="21"/>
        </w:rPr>
        <w:t>：</w:t>
      </w:r>
      <w:r>
        <w:rPr>
          <w:rFonts w:eastAsia="楷体" w:cstheme="minorHAnsi" w:hint="eastAsia"/>
          <w:bCs/>
          <w:kern w:val="0"/>
          <w:szCs w:val="21"/>
        </w:rPr>
        <w:t xml:space="preserve">  </w:t>
      </w:r>
      <w:hyperlink r:id="rId6" w:history="1">
        <w:r w:rsidR="00182AC1" w:rsidRPr="009B190B">
          <w:rPr>
            <w:rStyle w:val="a4"/>
          </w:rPr>
          <w:t>http://law.wkinfo.com.cn/help/application.HTML</w:t>
        </w:r>
      </w:hyperlink>
    </w:p>
    <w:p w:rsidR="00FE0D2D" w:rsidRDefault="006C04DE" w:rsidP="00565B5F">
      <w:pPr>
        <w:spacing w:line="276" w:lineRule="auto"/>
        <w:rPr>
          <w:rFonts w:ascii="楷体" w:eastAsia="楷体" w:hAnsi="楷体" w:cstheme="minorHAnsi"/>
          <w:bCs/>
          <w:kern w:val="0"/>
          <w:szCs w:val="21"/>
        </w:rPr>
      </w:pPr>
      <w:r w:rsidRPr="00A45C9F">
        <w:rPr>
          <w:rFonts w:ascii="黑体" w:eastAsia="黑体" w:hAnsi="黑体" w:cstheme="minorHAnsi"/>
          <w:b/>
          <w:color w:val="0070C0"/>
          <w:szCs w:val="21"/>
        </w:rPr>
        <w:t>简介</w:t>
      </w:r>
      <w:r w:rsidRPr="00B21640">
        <w:rPr>
          <w:rFonts w:eastAsia="楷体" w:cstheme="minorHAnsi"/>
          <w:bCs/>
          <w:kern w:val="0"/>
          <w:szCs w:val="21"/>
        </w:rPr>
        <w:t>：</w:t>
      </w:r>
      <w:r w:rsidR="00A45C9F">
        <w:rPr>
          <w:rFonts w:eastAsia="楷体" w:cstheme="minorHAnsi" w:hint="eastAsia"/>
          <w:bCs/>
          <w:kern w:val="0"/>
          <w:szCs w:val="21"/>
        </w:rPr>
        <w:t xml:space="preserve">   </w:t>
      </w:r>
      <w:r w:rsidR="00A45C9F" w:rsidRPr="00FE0D2D">
        <w:rPr>
          <w:rFonts w:ascii="楷体" w:eastAsia="楷体" w:hAnsi="楷体" w:cstheme="minorHAnsi" w:hint="eastAsia"/>
          <w:bCs/>
          <w:kern w:val="0"/>
          <w:szCs w:val="21"/>
        </w:rPr>
        <w:t xml:space="preserve">   </w:t>
      </w:r>
    </w:p>
    <w:p w:rsidR="00B17963" w:rsidRDefault="00B17963" w:rsidP="00B17963">
      <w:pPr>
        <w:ind w:firstLineChars="200" w:firstLine="482"/>
        <w:rPr>
          <w:rFonts w:ascii="楷体" w:eastAsia="楷体" w:hAnsi="楷体"/>
          <w:szCs w:val="21"/>
        </w:rPr>
      </w:pPr>
      <w:r w:rsidRPr="00F41C12">
        <w:rPr>
          <w:rFonts w:ascii="幼圆" w:eastAsia="幼圆" w:cs="幼圆" w:hint="eastAsia"/>
          <w:b/>
          <w:color w:val="7BC243"/>
          <w:kern w:val="0"/>
          <w:sz w:val="24"/>
          <w:szCs w:val="62"/>
        </w:rPr>
        <w:t>威科先行</w:t>
      </w:r>
      <w:r w:rsidRPr="00F41C12">
        <w:rPr>
          <w:rFonts w:ascii="幼圆" w:eastAsia="幼圆" w:cs="幼圆"/>
          <w:b/>
          <w:color w:val="7BC243"/>
          <w:kern w:val="0"/>
          <w:sz w:val="24"/>
          <w:szCs w:val="62"/>
        </w:rPr>
        <w:t xml:space="preserve"> </w:t>
      </w:r>
      <w:r w:rsidRPr="00F41C12">
        <w:rPr>
          <w:rFonts w:ascii="Bliss2-Light" w:eastAsia="幼圆" w:hAnsi="Bliss2-Light" w:cs="Bliss2-Light"/>
          <w:b/>
          <w:color w:val="7BC243"/>
          <w:kern w:val="0"/>
          <w:sz w:val="15"/>
          <w:szCs w:val="36"/>
        </w:rPr>
        <w:t xml:space="preserve">TM </w:t>
      </w:r>
      <w:r w:rsidRPr="00F41C12">
        <w:rPr>
          <w:rFonts w:ascii="幼圆" w:eastAsia="幼圆" w:cs="幼圆" w:hint="eastAsia"/>
          <w:b/>
          <w:color w:val="7BC243"/>
          <w:kern w:val="0"/>
          <w:sz w:val="24"/>
          <w:szCs w:val="62"/>
        </w:rPr>
        <w:t>法律信息库</w:t>
      </w:r>
      <w:r>
        <w:rPr>
          <w:rFonts w:ascii="楷体" w:eastAsia="楷体" w:hAnsi="楷体" w:hint="eastAsia"/>
          <w:szCs w:val="21"/>
        </w:rPr>
        <w:t>为威科</w:t>
      </w:r>
      <w:r w:rsidRPr="00714EA8">
        <w:rPr>
          <w:rFonts w:ascii="楷体" w:eastAsia="楷体" w:hAnsi="楷体" w:hint="eastAsia"/>
          <w:szCs w:val="21"/>
        </w:rPr>
        <w:t>集团为中国专业人士量身定制的在线法律信息库。该库</w:t>
      </w:r>
      <w:r>
        <w:rPr>
          <w:rFonts w:ascii="楷体" w:eastAsia="楷体" w:hAnsi="楷体" w:hint="eastAsia"/>
          <w:szCs w:val="21"/>
        </w:rPr>
        <w:t>于2011年全面上线，</w:t>
      </w:r>
      <w:r w:rsidRPr="00714EA8">
        <w:rPr>
          <w:rFonts w:ascii="楷体" w:eastAsia="楷体" w:hAnsi="楷体" w:hint="eastAsia"/>
          <w:szCs w:val="21"/>
        </w:rPr>
        <w:t>整合了威科全球与中国相关的中英文法律题材内容，搭载世界领先的智能信息技术平台，是集法律法规、案例、实务指南、新闻、国际条约于一体，高效检索、及时更新的法律信息解决方案。</w:t>
      </w:r>
    </w:p>
    <w:p w:rsidR="00B17963" w:rsidRPr="00543737" w:rsidRDefault="00B17963" w:rsidP="00B17963">
      <w:pPr>
        <w:pStyle w:val="a3"/>
        <w:jc w:val="left"/>
        <w:rPr>
          <w:sz w:val="28"/>
          <w:szCs w:val="28"/>
        </w:rPr>
      </w:pPr>
      <w:r w:rsidRPr="00543737">
        <w:rPr>
          <w:rFonts w:hint="eastAsia"/>
          <w:sz w:val="28"/>
          <w:szCs w:val="28"/>
        </w:rPr>
        <w:t>内容涵盖：</w:t>
      </w:r>
    </w:p>
    <w:p w:rsidR="00B17963" w:rsidRDefault="00B17963" w:rsidP="00B17963">
      <w:pPr>
        <w:pStyle w:val="a7"/>
        <w:numPr>
          <w:ilvl w:val="0"/>
          <w:numId w:val="3"/>
        </w:numPr>
        <w:autoSpaceDE w:val="0"/>
        <w:autoSpaceDN w:val="0"/>
        <w:adjustRightInd w:val="0"/>
        <w:ind w:left="360" w:firstLineChars="0"/>
        <w:jc w:val="left"/>
        <w:rPr>
          <w:rFonts w:ascii="楷体" w:eastAsia="楷体" w:hAnsi="楷体" w:cs="幼圆"/>
          <w:kern w:val="0"/>
          <w:szCs w:val="21"/>
        </w:rPr>
      </w:pPr>
      <w:r w:rsidRPr="00B17963">
        <w:rPr>
          <w:rFonts w:ascii="楷体" w:eastAsia="楷体" w:hAnsi="楷体" w:cs="幼圆" w:hint="eastAsia"/>
          <w:i/>
          <w:kern w:val="0"/>
          <w:sz w:val="23"/>
          <w:szCs w:val="21"/>
          <w:u w:val="single"/>
        </w:rPr>
        <w:t>法律法规：</w:t>
      </w:r>
      <w:r w:rsidRPr="00B17963">
        <w:rPr>
          <w:rFonts w:ascii="楷体" w:eastAsia="楷体" w:hAnsi="楷体" w:cs="幼圆" w:hint="eastAsia"/>
          <w:kern w:val="0"/>
          <w:szCs w:val="21"/>
        </w:rPr>
        <w:t>收录了</w:t>
      </w:r>
      <w:r w:rsidRPr="00B17963">
        <w:rPr>
          <w:rFonts w:ascii="楷体" w:eastAsia="楷体" w:hAnsi="楷体" w:cs="幼圆" w:hint="eastAsia"/>
          <w:b/>
          <w:color w:val="1F497D" w:themeColor="text2"/>
          <w:kern w:val="0"/>
          <w:szCs w:val="21"/>
          <w:u w:val="single"/>
        </w:rPr>
        <w:t>自</w:t>
      </w:r>
      <w:r w:rsidRPr="00B17963">
        <w:rPr>
          <w:rFonts w:ascii="楷体" w:eastAsia="楷体" w:hAnsi="楷体" w:cs="Bliss2-Light"/>
          <w:b/>
          <w:color w:val="1F497D" w:themeColor="text2"/>
          <w:kern w:val="0"/>
          <w:szCs w:val="21"/>
          <w:u w:val="single"/>
        </w:rPr>
        <w:t>1949</w:t>
      </w:r>
      <w:r w:rsidRPr="00B17963">
        <w:rPr>
          <w:rFonts w:ascii="楷体" w:eastAsia="楷体" w:hAnsi="楷体" w:cs="幼圆" w:hint="eastAsia"/>
          <w:b/>
          <w:color w:val="1F497D" w:themeColor="text2"/>
          <w:kern w:val="0"/>
          <w:szCs w:val="21"/>
          <w:u w:val="single"/>
        </w:rPr>
        <w:t>年建国至今</w:t>
      </w:r>
      <w:r w:rsidRPr="00B17963">
        <w:rPr>
          <w:rFonts w:ascii="楷体" w:eastAsia="楷体" w:hAnsi="楷体" w:cs="幼圆" w:hint="eastAsia"/>
          <w:kern w:val="0"/>
          <w:szCs w:val="21"/>
        </w:rPr>
        <w:t>，从中央至</w:t>
      </w:r>
      <w:r w:rsidRPr="00B17963">
        <w:rPr>
          <w:rFonts w:ascii="楷体" w:eastAsia="楷体" w:hAnsi="楷体" w:cs="Bliss2-Light"/>
          <w:kern w:val="0"/>
          <w:szCs w:val="21"/>
        </w:rPr>
        <w:t>31</w:t>
      </w:r>
      <w:r w:rsidRPr="00B17963">
        <w:rPr>
          <w:rFonts w:ascii="楷体" w:eastAsia="楷体" w:hAnsi="楷体" w:cs="幼圆" w:hint="eastAsia"/>
          <w:kern w:val="0"/>
          <w:szCs w:val="21"/>
        </w:rPr>
        <w:t>个省市自治区的所有法规，部分省市深入至县级。包括法律、行政法规、司法解释、部委规章、地方法规、行业规范等</w:t>
      </w:r>
      <w:r w:rsidRPr="00B17963">
        <w:rPr>
          <w:rFonts w:ascii="楷体" w:eastAsia="楷体" w:hAnsi="楷体" w:cs="Bliss2-Light"/>
          <w:kern w:val="0"/>
          <w:szCs w:val="21"/>
        </w:rPr>
        <w:t>8</w:t>
      </w:r>
      <w:r w:rsidRPr="00B17963">
        <w:rPr>
          <w:rFonts w:ascii="楷体" w:eastAsia="楷体" w:hAnsi="楷体" w:cs="幼圆" w:hint="eastAsia"/>
          <w:kern w:val="0"/>
          <w:szCs w:val="21"/>
        </w:rPr>
        <w:t>个效力级别及证监会、国税总局、财政部、央行、最高人民法院等</w:t>
      </w:r>
      <w:r w:rsidRPr="00B17963">
        <w:rPr>
          <w:rFonts w:ascii="楷体" w:eastAsia="楷体" w:hAnsi="楷体" w:cs="Bliss2-Light"/>
          <w:kern w:val="0"/>
          <w:szCs w:val="21"/>
        </w:rPr>
        <w:t>2729</w:t>
      </w:r>
      <w:r w:rsidRPr="00B17963">
        <w:rPr>
          <w:rFonts w:ascii="楷体" w:eastAsia="楷体" w:hAnsi="楷体" w:cs="幼圆" w:hint="eastAsia"/>
          <w:kern w:val="0"/>
          <w:szCs w:val="21"/>
        </w:rPr>
        <w:t>个中央和</w:t>
      </w:r>
      <w:r w:rsidRPr="00B17963">
        <w:rPr>
          <w:rFonts w:ascii="楷体" w:eastAsia="楷体" w:hAnsi="楷体" w:cs="Bliss2-Light"/>
          <w:kern w:val="0"/>
          <w:szCs w:val="21"/>
        </w:rPr>
        <w:t>33456</w:t>
      </w:r>
      <w:r w:rsidRPr="00B17963">
        <w:rPr>
          <w:rFonts w:ascii="楷体" w:eastAsia="楷体" w:hAnsi="楷体" w:cs="幼圆" w:hint="eastAsia"/>
          <w:kern w:val="0"/>
          <w:szCs w:val="21"/>
        </w:rPr>
        <w:t>个地方发文机关发布的法规、征求意见稿、草案及官方法规解释。配备专业团队进行修校，确保法规信息准确无误。总量</w:t>
      </w:r>
      <w:r w:rsidR="00E30140">
        <w:rPr>
          <w:rFonts w:ascii="楷体" w:eastAsia="楷体" w:hAnsi="楷体" w:cs="幼圆" w:hint="eastAsia"/>
          <w:kern w:val="0"/>
          <w:szCs w:val="21"/>
        </w:rPr>
        <w:t>超过</w:t>
      </w:r>
      <w:r w:rsidR="00B24AE1">
        <w:rPr>
          <w:rFonts w:ascii="楷体" w:eastAsia="楷体" w:hAnsi="楷体" w:cs="Bliss2-Light" w:hint="eastAsia"/>
          <w:b/>
          <w:color w:val="1F497D" w:themeColor="text2"/>
          <w:kern w:val="0"/>
          <w:szCs w:val="21"/>
          <w:u w:val="single"/>
        </w:rPr>
        <w:t>1</w:t>
      </w:r>
      <w:r w:rsidR="0035531E">
        <w:rPr>
          <w:rFonts w:ascii="楷体" w:eastAsia="楷体" w:hAnsi="楷体" w:cs="Bliss2-Light"/>
          <w:b/>
          <w:color w:val="1F497D" w:themeColor="text2"/>
          <w:kern w:val="0"/>
          <w:szCs w:val="21"/>
          <w:u w:val="single"/>
        </w:rPr>
        <w:t>50</w:t>
      </w:r>
      <w:r w:rsidRPr="00B17963">
        <w:rPr>
          <w:rFonts w:ascii="楷体" w:eastAsia="楷体" w:hAnsi="楷体" w:cs="幼圆" w:hint="eastAsia"/>
          <w:b/>
          <w:color w:val="1F497D" w:themeColor="text2"/>
          <w:kern w:val="0"/>
          <w:szCs w:val="21"/>
          <w:u w:val="single"/>
        </w:rPr>
        <w:t>万</w:t>
      </w:r>
      <w:r w:rsidRPr="00B17963">
        <w:rPr>
          <w:rFonts w:ascii="楷体" w:eastAsia="楷体" w:hAnsi="楷体" w:cs="幼圆" w:hint="eastAsia"/>
          <w:kern w:val="0"/>
          <w:szCs w:val="21"/>
        </w:rPr>
        <w:t>条。</w:t>
      </w:r>
    </w:p>
    <w:p w:rsidR="00B17963" w:rsidRPr="00B17963" w:rsidRDefault="00B17963" w:rsidP="00B17963">
      <w:pPr>
        <w:pStyle w:val="a7"/>
        <w:autoSpaceDE w:val="0"/>
        <w:autoSpaceDN w:val="0"/>
        <w:adjustRightInd w:val="0"/>
        <w:ind w:left="360" w:firstLineChars="0" w:firstLine="0"/>
        <w:jc w:val="left"/>
        <w:rPr>
          <w:rFonts w:ascii="楷体" w:eastAsia="楷体" w:hAnsi="楷体" w:cs="幼圆"/>
          <w:kern w:val="0"/>
          <w:szCs w:val="21"/>
        </w:rPr>
      </w:pPr>
    </w:p>
    <w:p w:rsidR="00B17963" w:rsidRDefault="00B17963" w:rsidP="00B17963">
      <w:pPr>
        <w:pStyle w:val="a7"/>
        <w:numPr>
          <w:ilvl w:val="0"/>
          <w:numId w:val="3"/>
        </w:numPr>
        <w:autoSpaceDE w:val="0"/>
        <w:autoSpaceDN w:val="0"/>
        <w:adjustRightInd w:val="0"/>
        <w:ind w:left="360" w:firstLineChars="0"/>
        <w:jc w:val="left"/>
        <w:rPr>
          <w:rFonts w:ascii="楷体" w:eastAsia="楷体" w:hAnsi="楷体" w:cs="幼圆"/>
          <w:kern w:val="0"/>
          <w:szCs w:val="21"/>
        </w:rPr>
      </w:pPr>
      <w:r w:rsidRPr="00B17963">
        <w:rPr>
          <w:rFonts w:ascii="楷体" w:eastAsia="楷体" w:hAnsi="楷体" w:cs="幼圆" w:hint="eastAsia"/>
          <w:i/>
          <w:kern w:val="0"/>
          <w:sz w:val="23"/>
          <w:szCs w:val="21"/>
          <w:u w:val="single"/>
        </w:rPr>
        <w:t>案例</w:t>
      </w:r>
      <w:r w:rsidRPr="00B17963">
        <w:rPr>
          <w:rFonts w:ascii="楷体" w:eastAsia="楷体" w:hAnsi="楷体" w:cs="幼圆" w:hint="eastAsia"/>
          <w:kern w:val="0"/>
          <w:sz w:val="23"/>
          <w:szCs w:val="21"/>
        </w:rPr>
        <w:t>：</w:t>
      </w:r>
      <w:r w:rsidRPr="00B17963">
        <w:rPr>
          <w:rFonts w:ascii="楷体" w:eastAsia="楷体" w:hAnsi="楷体" w:cs="幼圆" w:hint="eastAsia"/>
          <w:kern w:val="0"/>
          <w:szCs w:val="21"/>
        </w:rPr>
        <w:t>收录了</w:t>
      </w:r>
      <w:r w:rsidRPr="00B17963">
        <w:rPr>
          <w:rFonts w:ascii="楷体" w:eastAsia="楷体" w:hAnsi="楷体" w:cs="Bliss2-Light"/>
          <w:kern w:val="0"/>
          <w:szCs w:val="21"/>
        </w:rPr>
        <w:t>1949</w:t>
      </w:r>
      <w:r w:rsidRPr="00B17963">
        <w:rPr>
          <w:rFonts w:ascii="楷体" w:eastAsia="楷体" w:hAnsi="楷体" w:cs="幼圆" w:hint="eastAsia"/>
          <w:kern w:val="0"/>
          <w:szCs w:val="21"/>
        </w:rPr>
        <w:t>年建国以来最高人民法院官方公布的典型案例及精选案例，包括中国大陆</w:t>
      </w:r>
      <w:r w:rsidRPr="00B17963">
        <w:rPr>
          <w:rFonts w:ascii="楷体" w:eastAsia="楷体" w:hAnsi="楷体" w:cs="Bliss2-Light"/>
          <w:kern w:val="0"/>
          <w:szCs w:val="21"/>
        </w:rPr>
        <w:t>31</w:t>
      </w:r>
      <w:r w:rsidRPr="00B17963">
        <w:rPr>
          <w:rFonts w:ascii="楷体" w:eastAsia="楷体" w:hAnsi="楷体" w:cs="幼圆" w:hint="eastAsia"/>
          <w:kern w:val="0"/>
          <w:szCs w:val="21"/>
        </w:rPr>
        <w:t>个省市自治区的三级法院官方公布的裁判文书及海事法院、军事法院、铁路法院等专门法院公布的裁判文书。覆盖整个审判流程及民事、刑事、行政全部案由。裁判</w:t>
      </w:r>
      <w:r w:rsidR="00B24AE1">
        <w:rPr>
          <w:rFonts w:ascii="楷体" w:eastAsia="楷体" w:hAnsi="楷体" w:cs="幼圆" w:hint="eastAsia"/>
          <w:kern w:val="0"/>
          <w:szCs w:val="21"/>
        </w:rPr>
        <w:t>文书的类型包括判决书、裁定书、决定书、调解书及其他文书。总量</w:t>
      </w:r>
      <w:r w:rsidR="00E30140">
        <w:rPr>
          <w:rFonts w:ascii="楷体" w:eastAsia="楷体" w:hAnsi="楷体" w:cs="幼圆" w:hint="eastAsia"/>
          <w:kern w:val="0"/>
          <w:szCs w:val="21"/>
        </w:rPr>
        <w:t>超过</w:t>
      </w:r>
      <w:r w:rsidR="00B24AE1">
        <w:rPr>
          <w:rFonts w:ascii="楷体" w:eastAsia="楷体" w:hAnsi="楷体" w:cs="Bliss2-Light" w:hint="eastAsia"/>
          <w:b/>
          <w:color w:val="17365D" w:themeColor="text2" w:themeShade="BF"/>
          <w:kern w:val="0"/>
          <w:szCs w:val="21"/>
          <w:u w:val="single"/>
        </w:rPr>
        <w:t>2</w:t>
      </w:r>
      <w:r w:rsidR="0035531E">
        <w:rPr>
          <w:rFonts w:ascii="楷体" w:eastAsia="楷体" w:hAnsi="楷体" w:cs="Bliss2-Light"/>
          <w:b/>
          <w:color w:val="17365D" w:themeColor="text2" w:themeShade="BF"/>
          <w:kern w:val="0"/>
          <w:szCs w:val="21"/>
          <w:u w:val="single"/>
        </w:rPr>
        <w:t>8</w:t>
      </w:r>
      <w:r w:rsidR="005462B9">
        <w:rPr>
          <w:rFonts w:ascii="楷体" w:eastAsia="楷体" w:hAnsi="楷体" w:cs="Bliss2-Light" w:hint="eastAsia"/>
          <w:b/>
          <w:color w:val="17365D" w:themeColor="text2" w:themeShade="BF"/>
          <w:kern w:val="0"/>
          <w:szCs w:val="21"/>
          <w:u w:val="single"/>
        </w:rPr>
        <w:t>00</w:t>
      </w:r>
      <w:r w:rsidRPr="00B17963">
        <w:rPr>
          <w:rFonts w:ascii="楷体" w:eastAsia="楷体" w:hAnsi="楷体" w:cs="幼圆" w:hint="eastAsia"/>
          <w:b/>
          <w:color w:val="17365D" w:themeColor="text2" w:themeShade="BF"/>
          <w:kern w:val="0"/>
          <w:szCs w:val="21"/>
          <w:u w:val="single"/>
        </w:rPr>
        <w:t>万</w:t>
      </w:r>
      <w:r w:rsidRPr="00B17963">
        <w:rPr>
          <w:rFonts w:ascii="楷体" w:eastAsia="楷体" w:hAnsi="楷体" w:cs="幼圆" w:hint="eastAsia"/>
          <w:kern w:val="0"/>
          <w:szCs w:val="21"/>
        </w:rPr>
        <w:t>，是目前市场上</w:t>
      </w:r>
      <w:r w:rsidRPr="00B17963">
        <w:rPr>
          <w:rFonts w:ascii="楷体" w:eastAsia="楷体" w:hAnsi="楷体" w:cs="幼圆" w:hint="eastAsia"/>
          <w:b/>
          <w:color w:val="17365D" w:themeColor="text2" w:themeShade="BF"/>
          <w:kern w:val="0"/>
          <w:szCs w:val="21"/>
          <w:u w:val="single"/>
        </w:rPr>
        <w:t>同类产品之首</w:t>
      </w:r>
      <w:r w:rsidRPr="00B17963">
        <w:rPr>
          <w:rFonts w:ascii="楷体" w:eastAsia="楷体" w:hAnsi="楷体" w:cs="幼圆" w:hint="eastAsia"/>
          <w:kern w:val="0"/>
          <w:szCs w:val="21"/>
        </w:rPr>
        <w:t>。</w:t>
      </w:r>
    </w:p>
    <w:p w:rsidR="00B17963" w:rsidRPr="00B17963" w:rsidRDefault="00B17963" w:rsidP="00B17963">
      <w:pPr>
        <w:autoSpaceDE w:val="0"/>
        <w:autoSpaceDN w:val="0"/>
        <w:adjustRightInd w:val="0"/>
        <w:jc w:val="left"/>
        <w:rPr>
          <w:rFonts w:ascii="楷体" w:eastAsia="楷体" w:hAnsi="楷体" w:cs="幼圆"/>
          <w:kern w:val="0"/>
          <w:szCs w:val="21"/>
        </w:rPr>
      </w:pPr>
    </w:p>
    <w:p w:rsidR="00B17963" w:rsidRDefault="00B17963" w:rsidP="00B17963">
      <w:pPr>
        <w:pStyle w:val="a7"/>
        <w:numPr>
          <w:ilvl w:val="0"/>
          <w:numId w:val="3"/>
        </w:numPr>
        <w:autoSpaceDE w:val="0"/>
        <w:autoSpaceDN w:val="0"/>
        <w:adjustRightInd w:val="0"/>
        <w:ind w:left="360" w:firstLineChars="0"/>
        <w:jc w:val="left"/>
        <w:rPr>
          <w:rFonts w:ascii="楷体" w:eastAsia="楷体" w:hAnsi="楷体" w:cs="幼圆"/>
          <w:kern w:val="0"/>
          <w:szCs w:val="21"/>
        </w:rPr>
      </w:pPr>
      <w:r w:rsidRPr="00B17963">
        <w:rPr>
          <w:rFonts w:ascii="楷体" w:eastAsia="楷体" w:hAnsi="楷体" w:cs="幼圆" w:hint="eastAsia"/>
          <w:i/>
          <w:kern w:val="0"/>
          <w:sz w:val="23"/>
          <w:szCs w:val="21"/>
          <w:u w:val="single"/>
        </w:rPr>
        <w:t>新闻：</w:t>
      </w:r>
      <w:r w:rsidRPr="00B17963">
        <w:rPr>
          <w:rFonts w:ascii="楷体" w:eastAsia="楷体" w:hAnsi="楷体" w:cs="幼圆" w:hint="eastAsia"/>
          <w:kern w:val="0"/>
          <w:szCs w:val="21"/>
        </w:rPr>
        <w:t>提供</w:t>
      </w:r>
      <w:r w:rsidRPr="00B17963">
        <w:rPr>
          <w:rFonts w:ascii="楷体" w:eastAsia="楷体" w:hAnsi="楷体" w:cs="幼圆" w:hint="eastAsia"/>
          <w:b/>
          <w:color w:val="17365D" w:themeColor="text2" w:themeShade="BF"/>
          <w:kern w:val="0"/>
          <w:szCs w:val="21"/>
          <w:u w:val="single"/>
        </w:rPr>
        <w:t>中英双语新闻服务</w:t>
      </w:r>
      <w:r w:rsidRPr="00B17963">
        <w:rPr>
          <w:rFonts w:ascii="楷体" w:eastAsia="楷体" w:hAnsi="楷体" w:cs="幼圆" w:hint="eastAsia"/>
          <w:kern w:val="0"/>
          <w:szCs w:val="21"/>
        </w:rPr>
        <w:t>，覆盖全国范围，并划分为</w:t>
      </w:r>
      <w:r w:rsidRPr="00B17963">
        <w:rPr>
          <w:rFonts w:ascii="楷体" w:eastAsia="楷体" w:hAnsi="楷体" w:cs="Bliss2-Light"/>
          <w:kern w:val="0"/>
          <w:szCs w:val="21"/>
        </w:rPr>
        <w:t>11</w:t>
      </w:r>
      <w:r w:rsidRPr="00B17963">
        <w:rPr>
          <w:rFonts w:ascii="楷体" w:eastAsia="楷体" w:hAnsi="楷体" w:cs="幼圆" w:hint="eastAsia"/>
          <w:kern w:val="0"/>
          <w:szCs w:val="21"/>
        </w:rPr>
        <w:t>个行业及劳动法、合同法、公司治理、知识产权、会计准则、外汇、海关等</w:t>
      </w:r>
      <w:r w:rsidRPr="00B17963">
        <w:rPr>
          <w:rFonts w:ascii="楷体" w:eastAsia="楷体" w:hAnsi="楷体" w:cs="Bliss2-Light"/>
          <w:kern w:val="0"/>
          <w:szCs w:val="21"/>
        </w:rPr>
        <w:t>16</w:t>
      </w:r>
      <w:r w:rsidRPr="00B17963">
        <w:rPr>
          <w:rFonts w:ascii="楷体" w:eastAsia="楷体" w:hAnsi="楷体" w:cs="幼圆" w:hint="eastAsia"/>
          <w:kern w:val="0"/>
          <w:szCs w:val="21"/>
        </w:rPr>
        <w:t>种实务应用。采用专业的工具实时监控相关新闻更新，</w:t>
      </w:r>
      <w:proofErr w:type="gramStart"/>
      <w:r w:rsidRPr="00B17963">
        <w:rPr>
          <w:rFonts w:ascii="楷体" w:eastAsia="楷体" w:hAnsi="楷体" w:cs="幼圆" w:hint="eastAsia"/>
          <w:kern w:val="0"/>
          <w:szCs w:val="21"/>
        </w:rPr>
        <w:t>确保第</w:t>
      </w:r>
      <w:proofErr w:type="gramEnd"/>
      <w:r w:rsidRPr="00B17963">
        <w:rPr>
          <w:rFonts w:ascii="楷体" w:eastAsia="楷体" w:hAnsi="楷体" w:cs="幼圆" w:hint="eastAsia"/>
          <w:kern w:val="0"/>
          <w:szCs w:val="21"/>
        </w:rPr>
        <w:t>一时间为客户提供最新发布的法律相关资讯及案例点评，并可按需选订语言种类，满足中外用户不同的语言需求。</w:t>
      </w:r>
    </w:p>
    <w:p w:rsidR="00B17963" w:rsidRPr="00B17963" w:rsidRDefault="00B17963" w:rsidP="00B17963">
      <w:pPr>
        <w:autoSpaceDE w:val="0"/>
        <w:autoSpaceDN w:val="0"/>
        <w:adjustRightInd w:val="0"/>
        <w:jc w:val="left"/>
        <w:rPr>
          <w:rFonts w:ascii="楷体" w:eastAsia="楷体" w:hAnsi="楷体" w:cs="幼圆"/>
          <w:kern w:val="0"/>
          <w:szCs w:val="21"/>
        </w:rPr>
      </w:pPr>
    </w:p>
    <w:p w:rsidR="00B17963" w:rsidRDefault="00B17963" w:rsidP="00B17963">
      <w:pPr>
        <w:pStyle w:val="a7"/>
        <w:numPr>
          <w:ilvl w:val="0"/>
          <w:numId w:val="3"/>
        </w:numPr>
        <w:autoSpaceDE w:val="0"/>
        <w:autoSpaceDN w:val="0"/>
        <w:adjustRightInd w:val="0"/>
        <w:ind w:left="360" w:firstLineChars="0"/>
        <w:jc w:val="left"/>
        <w:rPr>
          <w:rFonts w:ascii="楷体" w:eastAsia="楷体" w:hAnsi="楷体" w:cs="幼圆"/>
          <w:kern w:val="0"/>
          <w:szCs w:val="21"/>
        </w:rPr>
      </w:pPr>
      <w:r w:rsidRPr="00B17963">
        <w:rPr>
          <w:rFonts w:ascii="楷体" w:eastAsia="楷体" w:hAnsi="楷体" w:cs="幼圆" w:hint="eastAsia"/>
          <w:i/>
          <w:kern w:val="0"/>
          <w:sz w:val="23"/>
          <w:szCs w:val="21"/>
          <w:u w:val="single"/>
        </w:rPr>
        <w:t>实务指南：</w:t>
      </w:r>
      <w:r w:rsidRPr="00B17963">
        <w:rPr>
          <w:rFonts w:ascii="楷体" w:eastAsia="楷体" w:hAnsi="楷体" w:cs="幼圆" w:hint="eastAsia"/>
          <w:kern w:val="0"/>
          <w:szCs w:val="21"/>
        </w:rPr>
        <w:t>包括精加工的法规评述、丰富的案例、文书范本、模板及诸多实操经验和专家建议，内容涉及公司法、劳动法、知识产权、财税等领域的</w:t>
      </w:r>
      <w:bookmarkStart w:id="0" w:name="_GoBack"/>
      <w:bookmarkEnd w:id="0"/>
      <w:r w:rsidRPr="00B17963">
        <w:rPr>
          <w:rFonts w:ascii="楷体" w:eastAsia="楷体" w:hAnsi="楷体" w:cs="幼圆" w:hint="eastAsia"/>
          <w:kern w:val="0"/>
          <w:szCs w:val="21"/>
        </w:rPr>
        <w:t>法律法规；由来自金杜、君合、德勤、普华永道等顶尖事务所的权威专家撰写；语言包括中文、英语和双语，并会持续增加新的内容。</w:t>
      </w:r>
    </w:p>
    <w:p w:rsidR="00B17963" w:rsidRPr="00B17963" w:rsidRDefault="00B17963" w:rsidP="00B17963">
      <w:pPr>
        <w:autoSpaceDE w:val="0"/>
        <w:autoSpaceDN w:val="0"/>
        <w:adjustRightInd w:val="0"/>
        <w:jc w:val="left"/>
        <w:rPr>
          <w:rFonts w:ascii="楷体" w:eastAsia="楷体" w:hAnsi="楷体" w:cs="幼圆"/>
          <w:kern w:val="0"/>
          <w:szCs w:val="21"/>
        </w:rPr>
      </w:pPr>
    </w:p>
    <w:p w:rsidR="00B17963" w:rsidRPr="00B17963" w:rsidRDefault="00B17963" w:rsidP="00B17963">
      <w:pPr>
        <w:pStyle w:val="a7"/>
        <w:numPr>
          <w:ilvl w:val="0"/>
          <w:numId w:val="3"/>
        </w:numPr>
        <w:autoSpaceDE w:val="0"/>
        <w:autoSpaceDN w:val="0"/>
        <w:adjustRightInd w:val="0"/>
        <w:ind w:left="360" w:firstLineChars="0"/>
        <w:jc w:val="left"/>
        <w:rPr>
          <w:rFonts w:ascii="楷体" w:eastAsia="楷体" w:hAnsi="楷体" w:cs="幼圆"/>
          <w:kern w:val="0"/>
          <w:szCs w:val="21"/>
        </w:rPr>
      </w:pPr>
      <w:r w:rsidRPr="00B17963">
        <w:rPr>
          <w:rFonts w:ascii="楷体" w:eastAsia="楷体" w:hAnsi="楷体" w:cs="幼圆" w:hint="eastAsia"/>
          <w:i/>
          <w:kern w:val="0"/>
          <w:sz w:val="23"/>
          <w:szCs w:val="21"/>
          <w:u w:val="single"/>
        </w:rPr>
        <w:t>国际条约：</w:t>
      </w:r>
      <w:r w:rsidRPr="00B17963">
        <w:rPr>
          <w:rFonts w:ascii="楷体" w:eastAsia="楷体" w:hAnsi="楷体" w:cs="幼圆" w:hint="eastAsia"/>
          <w:kern w:val="0"/>
          <w:szCs w:val="21"/>
        </w:rPr>
        <w:t>收录中国与</w:t>
      </w:r>
      <w:r w:rsidRPr="00B17963">
        <w:rPr>
          <w:rFonts w:ascii="楷体" w:eastAsia="楷体" w:hAnsi="楷体" w:cs="Bliss2-Light"/>
          <w:kern w:val="0"/>
          <w:szCs w:val="21"/>
        </w:rPr>
        <w:t>90</w:t>
      </w:r>
      <w:r w:rsidRPr="00B17963">
        <w:rPr>
          <w:rFonts w:ascii="楷体" w:eastAsia="楷体" w:hAnsi="楷体" w:cs="幼圆" w:hint="eastAsia"/>
          <w:kern w:val="0"/>
          <w:szCs w:val="21"/>
        </w:rPr>
        <w:t>多个国家及地区签署的税收协定。</w:t>
      </w:r>
    </w:p>
    <w:p w:rsidR="00B17963" w:rsidRPr="00B17963" w:rsidRDefault="00B17963" w:rsidP="00B17963">
      <w:pPr>
        <w:autoSpaceDE w:val="0"/>
        <w:autoSpaceDN w:val="0"/>
        <w:adjustRightInd w:val="0"/>
        <w:jc w:val="left"/>
        <w:rPr>
          <w:rFonts w:ascii="楷体" w:eastAsia="楷体" w:hAnsi="楷体" w:cstheme="minorHAnsi"/>
          <w:szCs w:val="21"/>
        </w:rPr>
      </w:pPr>
    </w:p>
    <w:sectPr w:rsidR="00B17963" w:rsidRPr="00B179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altName w:val="宋体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Bliss2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0A30FF"/>
    <w:multiLevelType w:val="hybridMultilevel"/>
    <w:tmpl w:val="2310A712"/>
    <w:lvl w:ilvl="0" w:tplc="C6BA49D2">
      <w:start w:val="1"/>
      <w:numFmt w:val="bullet"/>
      <w:lvlText w:val="-"/>
      <w:lvlJc w:val="left"/>
      <w:pPr>
        <w:ind w:left="1140" w:hanging="360"/>
      </w:pPr>
      <w:rPr>
        <w:rFonts w:ascii="楷体" w:eastAsia="楷体" w:hAnsi="楷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D732532"/>
    <w:multiLevelType w:val="hybridMultilevel"/>
    <w:tmpl w:val="71C04D64"/>
    <w:lvl w:ilvl="0" w:tplc="F7529BFA">
      <w:numFmt w:val="bullet"/>
      <w:lvlText w:val="·"/>
      <w:lvlJc w:val="left"/>
      <w:pPr>
        <w:ind w:left="360" w:hanging="360"/>
      </w:pPr>
      <w:rPr>
        <w:rFonts w:ascii="楷体" w:eastAsia="楷体" w:hAnsi="楷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E3F6E09"/>
    <w:multiLevelType w:val="hybridMultilevel"/>
    <w:tmpl w:val="FAEAA7B0"/>
    <w:lvl w:ilvl="0" w:tplc="35FEB0E0">
      <w:start w:val="4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4DE"/>
    <w:rsid w:val="000C394F"/>
    <w:rsid w:val="00157CD2"/>
    <w:rsid w:val="00182AC1"/>
    <w:rsid w:val="0035531E"/>
    <w:rsid w:val="004E7149"/>
    <w:rsid w:val="005462B9"/>
    <w:rsid w:val="00565B5F"/>
    <w:rsid w:val="006C04DE"/>
    <w:rsid w:val="007346D9"/>
    <w:rsid w:val="00931BF0"/>
    <w:rsid w:val="00953AB2"/>
    <w:rsid w:val="00A2231C"/>
    <w:rsid w:val="00A45C9F"/>
    <w:rsid w:val="00A86E84"/>
    <w:rsid w:val="00AB4966"/>
    <w:rsid w:val="00B17963"/>
    <w:rsid w:val="00B21640"/>
    <w:rsid w:val="00B24AE1"/>
    <w:rsid w:val="00C8577B"/>
    <w:rsid w:val="00CD774C"/>
    <w:rsid w:val="00DF2A3E"/>
    <w:rsid w:val="00E30140"/>
    <w:rsid w:val="00E86015"/>
    <w:rsid w:val="00FE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10A851-0146-4614-92C1-D84D73CDA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4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6C04DE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uiPriority w:val="11"/>
    <w:rsid w:val="006C04DE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4">
    <w:name w:val="Hyperlink"/>
    <w:basedOn w:val="a0"/>
    <w:uiPriority w:val="99"/>
    <w:unhideWhenUsed/>
    <w:rsid w:val="006C04D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C04DE"/>
    <w:rPr>
      <w:color w:val="800080" w:themeColor="followedHyperlink"/>
      <w:u w:val="single"/>
    </w:rPr>
  </w:style>
  <w:style w:type="paragraph" w:styleId="a6">
    <w:name w:val="No Spacing"/>
    <w:uiPriority w:val="1"/>
    <w:qFormat/>
    <w:rsid w:val="00FE0D2D"/>
    <w:pPr>
      <w:widowControl w:val="0"/>
      <w:jc w:val="both"/>
    </w:pPr>
  </w:style>
  <w:style w:type="paragraph" w:styleId="a7">
    <w:name w:val="List Paragraph"/>
    <w:basedOn w:val="a"/>
    <w:uiPriority w:val="34"/>
    <w:qFormat/>
    <w:rsid w:val="00B179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w.wkinfo.com.cn/help/application.HTML" TargetMode="External"/><Relationship Id="rId5" Type="http://schemas.openxmlformats.org/officeDocument/2006/relationships/hyperlink" Target="http://www.wkinfo.com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Wolters Kluwer Asia Pacific</Company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Li</dc:creator>
  <cp:lastModifiedBy>Jinyong Zhu</cp:lastModifiedBy>
  <cp:revision>7</cp:revision>
  <dcterms:created xsi:type="dcterms:W3CDTF">2016-03-16T08:44:00Z</dcterms:created>
  <dcterms:modified xsi:type="dcterms:W3CDTF">2017-05-05T10:05:00Z</dcterms:modified>
</cp:coreProperties>
</file>